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3B3ED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附件17</w:t>
      </w:r>
    </w:p>
    <w:p w14:paraId="49C5E0A8">
      <w:pPr>
        <w:bidi w:val="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老年失能预防核心信息</w:t>
      </w:r>
    </w:p>
    <w:bookmarkEnd w:id="0"/>
    <w:p w14:paraId="2341B561">
      <w:pPr>
        <w:bidi w:val="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3A745F1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失能是老年人体力与脑力的下降和外在环境综合作用的结果。引起老年人失能的危险因素包括衰弱、肌少症、营养不良、视力下降、听力下降、失智等老年综合征和急慢性疾病。不适合老年人的环境和照护等也会引起和加重老年人失能。积极预防失能，对提升老年人的生活质量，减轻家庭和社会的照护负担具有重要意义。</w:t>
      </w:r>
    </w:p>
    <w:p w14:paraId="60F0489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一、提高老年人健康素养。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正确认识衰老，树立积极的老龄观，通过科学、权威的渠道获取健康知识和技能，慎重选用保健品和家用医疗器械。</w:t>
      </w:r>
    </w:p>
    <w:p w14:paraId="0339AA5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二、改善营养状况。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合理膳食、均衡营养，定期参加营养状况筛查与评估，接受专业营养指导，营养不良的老年人应当遵医嘱使用营养补充剂。</w:t>
      </w:r>
    </w:p>
    <w:p w14:paraId="7EEBA53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三、改善骨骼肌肉功能。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鼓励户外活动，进行适当的体育锻炼，增强平衡力、耐力、灵活性和肌肉强度。</w:t>
      </w:r>
    </w:p>
    <w:p w14:paraId="271537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四、进行预防接种。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建议老年人定期注射肺炎球菌疫苗和带状疱疹疫苗，流感流行季前在医生的指导下接种流感疫苗。</w:t>
      </w:r>
    </w:p>
    <w:p w14:paraId="7A4648A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五、预防跌倒。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增强防跌意识，学习防跌常识，参加跌倒风险评估，积极干预风险因素。</w:t>
      </w:r>
    </w:p>
    <w:p w14:paraId="2154F86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六、关注心理健康。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保持良好心态，学会自我调适，识别焦虑、抑郁等不良情绪和痴呆早期表现，积极寻求帮助。</w:t>
      </w:r>
    </w:p>
    <w:p w14:paraId="11E63FA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七、维护社会功能。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多参加社交活动，丰富老年生活，避免社会隔离。</w:t>
      </w:r>
    </w:p>
    <w:p w14:paraId="4F6DDED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八、管理老年常见疾病及老年综合征。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定期体检，管理血压、血糖和血脂等，早期发现和干预心脑血管病、骨关节病、慢阻肺等老年常见疾病和老年综合征。</w:t>
      </w:r>
    </w:p>
    <w:p w14:paraId="3AA4416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九、科学合理用药。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遵医嘱用药，了解适应证、禁忌证，关注多重用药，用药期间出现不良反应及时就诊。</w:t>
      </w:r>
    </w:p>
    <w:p w14:paraId="13179A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十、避免绝对静养。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提倡老年人坚持进行力所能及的体力活动，避免长期卧床、受伤和术后的绝对静养造成的“废用综合征”。</w:t>
      </w:r>
    </w:p>
    <w:p w14:paraId="3D210F9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十一、重视功能康复。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重视康复治疗与训练，合理配置和使用辅具，使之起到改善和代偿功能的作用。</w:t>
      </w:r>
    </w:p>
    <w:p w14:paraId="78F66A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十二、早期识别失能高危人群。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高龄、新近出院或功能下降的老年人应当接受老年综合评估服务，有明显认知功能和运动功能减退的老年人要尽早就诊。</w:t>
      </w:r>
    </w:p>
    <w:p w14:paraId="34849BF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十三、尊重老年人的养老意愿。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尽量居住在熟悉的环境里，根据自己的意愿选择居住场所和照护人员。</w:t>
      </w:r>
    </w:p>
    <w:p w14:paraId="4749CC2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十四、重视生活环境安全。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对社区、家庭进行适老化改造。注意水、电、气等设施的安全，安装和维护报警装置。</w:t>
      </w:r>
    </w:p>
    <w:p w14:paraId="497F50F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十五、提高照护能力。</w:t>
      </w: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向照护人员提供专业照护培训和支持服务，对照护人员进行心理关怀和干预。</w:t>
      </w:r>
    </w:p>
    <w:p w14:paraId="25FCCF70">
      <w:pPr>
        <w:ind w:left="0" w:leftChars="0" w:firstLine="0" w:firstLineChars="0"/>
      </w:pPr>
      <w:r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/>
        </w:rPr>
        <w:t>十六、营造老年友好氛围。关注老年人健康，传承尊老爱老敬老的传统美德，建设老年友好的社会环境。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33DAE"/>
    <w:rsid w:val="40852B8D"/>
    <w:rsid w:val="6913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2026-01-28T01:38:00Z</dcterms:created>
  <dc:creator>钱梦</dc:creator>
  <cp:lastModifiedBy>钱梦</cp:lastModifiedBy>
  <dcterms:modified xsi:type="dcterms:W3CDTF">2026-01-28T01:39:43Z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5509067641BD40AA8EC342F939BCD9FD_11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